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8B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 xml:space="preserve">Algemene voorwaarden </w:t>
      </w:r>
      <w:r w:rsidRPr="006E6D4B">
        <w:rPr>
          <w:rFonts w:ascii="Arial" w:hAnsi="Arial" w:cs="Arial"/>
          <w:sz w:val="16"/>
          <w:szCs w:val="16"/>
        </w:rPr>
        <w:t xml:space="preserve">voor de dienstverlening van </w:t>
      </w:r>
      <w:proofErr w:type="spellStart"/>
      <w:r w:rsidR="00CA49AB">
        <w:rPr>
          <w:rFonts w:ascii="Arial" w:hAnsi="Arial" w:cs="Arial"/>
          <w:b/>
          <w:sz w:val="16"/>
          <w:szCs w:val="16"/>
        </w:rPr>
        <w:t>AdJuncto</w:t>
      </w:r>
      <w:proofErr w:type="spellEnd"/>
      <w:r w:rsidR="002A2A0D" w:rsidRPr="006E6D4B">
        <w:rPr>
          <w:rFonts w:ascii="Arial" w:hAnsi="Arial" w:cs="Arial"/>
          <w:b/>
          <w:sz w:val="16"/>
          <w:szCs w:val="16"/>
        </w:rPr>
        <w:t xml:space="preserve"> 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I. Definities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In deze algemene voorwaarden wordt verstaan onder:</w:t>
      </w:r>
    </w:p>
    <w:p w:rsidR="00FC608B" w:rsidRPr="006E6D4B" w:rsidRDefault="005A71B9" w:rsidP="005A71B9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a. </w:t>
      </w:r>
      <w:r w:rsidRPr="006E6D4B">
        <w:rPr>
          <w:rFonts w:ascii="Arial" w:hAnsi="Arial" w:cs="Arial"/>
          <w:sz w:val="16"/>
          <w:szCs w:val="16"/>
        </w:rPr>
        <w:tab/>
      </w:r>
      <w:proofErr w:type="spellStart"/>
      <w:r w:rsidR="00CA49AB">
        <w:rPr>
          <w:rFonts w:ascii="Arial" w:hAnsi="Arial" w:cs="Arial"/>
          <w:i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6E6D4B">
        <w:rPr>
          <w:rFonts w:ascii="Arial" w:hAnsi="Arial" w:cs="Arial"/>
          <w:sz w:val="16"/>
          <w:szCs w:val="16"/>
        </w:rPr>
        <w:t>Egbert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E6D4B">
        <w:rPr>
          <w:rFonts w:ascii="Arial" w:hAnsi="Arial" w:cs="Arial"/>
          <w:sz w:val="16"/>
          <w:szCs w:val="16"/>
        </w:rPr>
        <w:t>Renso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Beheer B.V., gevestigd te Zwolle, ingeschreven in het </w:t>
      </w:r>
      <w:r w:rsidR="00FC608B" w:rsidRPr="006E6D4B">
        <w:rPr>
          <w:rFonts w:ascii="Arial" w:hAnsi="Arial" w:cs="Arial"/>
          <w:sz w:val="16"/>
          <w:szCs w:val="16"/>
        </w:rPr>
        <w:t>handelsregister onder nummer 56948611</w:t>
      </w:r>
      <w:r w:rsidRPr="006E6D4B">
        <w:rPr>
          <w:rFonts w:ascii="Arial" w:hAnsi="Arial" w:cs="Arial"/>
          <w:sz w:val="16"/>
          <w:szCs w:val="16"/>
        </w:rPr>
        <w:t>, mede</w:t>
      </w:r>
      <w:r w:rsidR="00E61CEC" w:rsidRPr="006E6D4B">
        <w:rPr>
          <w:rFonts w:ascii="Arial" w:hAnsi="Arial" w:cs="Arial"/>
          <w:sz w:val="16"/>
          <w:szCs w:val="16"/>
        </w:rPr>
        <w:t xml:space="preserve"> handelend onder de naam: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. 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b. </w:t>
      </w:r>
      <w:r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i/>
          <w:sz w:val="16"/>
          <w:szCs w:val="16"/>
        </w:rPr>
        <w:t>Cliënt:</w:t>
      </w:r>
      <w:r w:rsidRPr="006E6D4B">
        <w:rPr>
          <w:rFonts w:ascii="Arial" w:hAnsi="Arial" w:cs="Arial"/>
          <w:sz w:val="16"/>
          <w:szCs w:val="16"/>
        </w:rPr>
        <w:t xml:space="preserve"> de contractspartij van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212459" w:rsidP="00212459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c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="005A71B9"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i/>
          <w:sz w:val="16"/>
          <w:szCs w:val="16"/>
        </w:rPr>
        <w:t>Honorarium</w:t>
      </w:r>
      <w:r w:rsidR="005A71B9" w:rsidRPr="006E6D4B">
        <w:rPr>
          <w:rFonts w:ascii="Arial" w:hAnsi="Arial" w:cs="Arial"/>
          <w:sz w:val="16"/>
          <w:szCs w:val="16"/>
        </w:rPr>
        <w:t>: de financiële vergoedi</w:t>
      </w:r>
      <w:r w:rsidR="00F60D81" w:rsidRPr="006E6D4B">
        <w:rPr>
          <w:rFonts w:ascii="Arial" w:hAnsi="Arial" w:cs="Arial"/>
          <w:sz w:val="16"/>
          <w:szCs w:val="16"/>
        </w:rPr>
        <w:t xml:space="preserve">ng </w:t>
      </w:r>
      <w:r w:rsidR="005A71B9" w:rsidRPr="006E6D4B">
        <w:rPr>
          <w:rFonts w:ascii="Arial" w:hAnsi="Arial" w:cs="Arial"/>
          <w:sz w:val="16"/>
          <w:szCs w:val="16"/>
        </w:rPr>
        <w:t xml:space="preserve">die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voor de uitvoering van haar werkzaamheden met Cliënt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 xml:space="preserve">is overeengekomen of die voor de </w:t>
      </w:r>
      <w:r w:rsidR="00F60D81" w:rsidRPr="006E6D4B">
        <w:rPr>
          <w:rFonts w:ascii="Arial" w:hAnsi="Arial" w:cs="Arial"/>
          <w:sz w:val="16"/>
          <w:szCs w:val="16"/>
        </w:rPr>
        <w:t>des</w:t>
      </w:r>
      <w:r w:rsidR="005A71B9" w:rsidRPr="006E6D4B">
        <w:rPr>
          <w:rFonts w:ascii="Arial" w:hAnsi="Arial" w:cs="Arial"/>
          <w:sz w:val="16"/>
          <w:szCs w:val="16"/>
        </w:rPr>
        <w:t>betreffende werkzaamheden geldt.</w:t>
      </w:r>
    </w:p>
    <w:p w:rsidR="005A71B9" w:rsidRPr="006E6D4B" w:rsidRDefault="0021245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d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="005A71B9"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i/>
          <w:sz w:val="16"/>
          <w:szCs w:val="16"/>
        </w:rPr>
        <w:t>Overeenkomst:</w:t>
      </w:r>
      <w:r w:rsidR="005A71B9" w:rsidRPr="006E6D4B">
        <w:rPr>
          <w:rFonts w:ascii="Arial" w:hAnsi="Arial" w:cs="Arial"/>
          <w:sz w:val="16"/>
          <w:szCs w:val="16"/>
        </w:rPr>
        <w:t xml:space="preserve"> de contractuele verhouding tussen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en Cliënt.</w:t>
      </w:r>
    </w:p>
    <w:p w:rsidR="005A71B9" w:rsidRPr="006E6D4B" w:rsidRDefault="0021245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e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="005A71B9"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i/>
          <w:sz w:val="16"/>
          <w:szCs w:val="16"/>
        </w:rPr>
        <w:t>Partijen:</w:t>
      </w:r>
      <w:r w:rsidR="005A71B9" w:rsidRPr="006E6D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en Cliënt gezamenlijk.</w:t>
      </w:r>
    </w:p>
    <w:p w:rsidR="005A71B9" w:rsidRPr="006E6D4B" w:rsidRDefault="00212459" w:rsidP="00212459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f</w:t>
      </w:r>
      <w:r w:rsidR="005A71B9" w:rsidRPr="006E6D4B">
        <w:rPr>
          <w:rFonts w:ascii="Arial" w:hAnsi="Arial" w:cs="Arial"/>
          <w:sz w:val="16"/>
          <w:szCs w:val="16"/>
        </w:rPr>
        <w:t>.</w:t>
      </w:r>
      <w:r w:rsidR="005A71B9"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i/>
          <w:sz w:val="16"/>
          <w:szCs w:val="16"/>
        </w:rPr>
        <w:t>Verschotten:</w:t>
      </w:r>
      <w:r w:rsidR="005A71B9" w:rsidRPr="006E6D4B">
        <w:rPr>
          <w:rFonts w:ascii="Arial" w:hAnsi="Arial" w:cs="Arial"/>
          <w:sz w:val="16"/>
          <w:szCs w:val="16"/>
        </w:rPr>
        <w:t xml:space="preserve"> de kosten die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in verband met de uitvoering van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de Overeenkomst maakt, niet zi</w:t>
      </w:r>
      <w:r w:rsidR="00FA4428" w:rsidRPr="006E6D4B">
        <w:rPr>
          <w:rFonts w:ascii="Arial" w:hAnsi="Arial" w:cs="Arial"/>
          <w:sz w:val="16"/>
          <w:szCs w:val="16"/>
        </w:rPr>
        <w:t>jnde Honorarium</w:t>
      </w:r>
      <w:r w:rsidR="005A71B9"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II. Toepasselijkheid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Deze algemene voorwaarden zijn van toepassing op elke bestaande en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toekomstige Overeenkomst, tenzij Partijen voorafgaande aan de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totstandkoming van de Overeenkomst schriftelijk anders overeenkomen.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III. Overeenkomst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a. </w:t>
      </w:r>
      <w:r w:rsidR="00FA4428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De Overeenkomst komt pas tot stand, nadat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deze heeft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 xml:space="preserve">aanvaard. </w:t>
      </w:r>
    </w:p>
    <w:p w:rsidR="005A71B9" w:rsidRPr="006E6D4B" w:rsidRDefault="005A71B9" w:rsidP="00FA442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b. </w:t>
      </w:r>
      <w:r w:rsidR="00FA4428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Cliënt stemt ermee in dat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de overeenkomst onder haar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 xml:space="preserve">verantwoordelijkheid </w:t>
      </w:r>
      <w:r w:rsidR="00212459" w:rsidRPr="006E6D4B">
        <w:rPr>
          <w:rFonts w:ascii="Arial" w:hAnsi="Arial" w:cs="Arial"/>
          <w:sz w:val="16"/>
          <w:szCs w:val="16"/>
        </w:rPr>
        <w:t xml:space="preserve">laat uitvoeren door haar bestuurder </w:t>
      </w:r>
      <w:r w:rsidRPr="006E6D4B">
        <w:rPr>
          <w:rFonts w:ascii="Arial" w:hAnsi="Arial" w:cs="Arial"/>
          <w:sz w:val="16"/>
          <w:szCs w:val="16"/>
        </w:rPr>
        <w:t xml:space="preserve">of </w:t>
      </w:r>
      <w:proofErr w:type="spellStart"/>
      <w:r w:rsidRPr="006E6D4B">
        <w:rPr>
          <w:rFonts w:ascii="Arial" w:hAnsi="Arial" w:cs="Arial"/>
          <w:sz w:val="16"/>
          <w:szCs w:val="16"/>
        </w:rPr>
        <w:t>zonodig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door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derden. De toepasselijkheid van de a</w:t>
      </w:r>
      <w:r w:rsidR="008D4012" w:rsidRPr="006E6D4B">
        <w:rPr>
          <w:rFonts w:ascii="Arial" w:hAnsi="Arial" w:cs="Arial"/>
          <w:sz w:val="16"/>
          <w:szCs w:val="16"/>
        </w:rPr>
        <w:t>rtikelen 7:404 en 7:407 lid 2 van het Burgerlijk Wetboek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is uitgesloten.</w:t>
      </w:r>
    </w:p>
    <w:p w:rsidR="005A71B9" w:rsidRPr="006E6D4B" w:rsidRDefault="005A71B9" w:rsidP="00FA442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c. </w:t>
      </w:r>
      <w:r w:rsidR="00FA4428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Cliënt stemt ermee in dat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digitaal met hem en met derden</w:t>
      </w:r>
      <w:r w:rsidR="00212459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correspondeert.</w:t>
      </w:r>
    </w:p>
    <w:p w:rsidR="005A71B9" w:rsidRPr="006E6D4B" w:rsidRDefault="005A71B9" w:rsidP="001D77C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d. </w:t>
      </w:r>
      <w:r w:rsidR="00FA4428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Zowel Cliënt als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is bevoegd de Overeenkomst met</w:t>
      </w:r>
      <w:r w:rsidR="00FA4428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onmiddellijke ingang op te zeggen</w:t>
      </w:r>
      <w:r w:rsidR="001D77C8" w:rsidRPr="006E6D4B">
        <w:rPr>
          <w:rFonts w:ascii="Arial" w:hAnsi="Arial" w:cs="Arial"/>
          <w:sz w:val="16"/>
          <w:szCs w:val="16"/>
        </w:rPr>
        <w:t>, tenz</w:t>
      </w:r>
      <w:r w:rsidR="00A55DB2" w:rsidRPr="006E6D4B">
        <w:rPr>
          <w:rFonts w:ascii="Arial" w:hAnsi="Arial" w:cs="Arial"/>
          <w:sz w:val="16"/>
          <w:szCs w:val="16"/>
        </w:rPr>
        <w:t>ij schriftelijk anders</w:t>
      </w:r>
      <w:r w:rsidR="001D77C8" w:rsidRPr="006E6D4B">
        <w:rPr>
          <w:rFonts w:ascii="Arial" w:hAnsi="Arial" w:cs="Arial"/>
          <w:sz w:val="16"/>
          <w:szCs w:val="16"/>
        </w:rPr>
        <w:t xml:space="preserve"> is overeengekomen</w:t>
      </w:r>
      <w:r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IV. Declaratie</w:t>
      </w:r>
    </w:p>
    <w:p w:rsidR="005A71B9" w:rsidRPr="006E6D4B" w:rsidRDefault="005A71B9" w:rsidP="00064A7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a. </w:t>
      </w:r>
      <w:r w:rsidR="00064A74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>Tenzij Partijen schriftelijk anders zijn overeengekomen, is Cliënt voor</w:t>
      </w:r>
      <w:r w:rsidR="00064A74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de uitvoering van de Overeenkomst het Honorarium, vermeerderd met Verschotten en omzetbelasting, verschuldigd.</w:t>
      </w:r>
    </w:p>
    <w:p w:rsidR="005A71B9" w:rsidRPr="006E6D4B" w:rsidRDefault="005A71B9" w:rsidP="00064A7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b. </w:t>
      </w:r>
      <w:r w:rsidR="00064A74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>Als het Honorarium tijdsevenredig wordt berekend, is de urenadministratie</w:t>
      </w:r>
      <w:r w:rsidR="00064A74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 xml:space="preserve">van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bindend, tenzij Cliënt de onjuistheid van de urenopgave</w:t>
      </w:r>
      <w:r w:rsidR="00064A74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aantoont.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c. </w:t>
      </w:r>
      <w:r w:rsidR="00064A74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>Verrichte werkzaamheden kunnen</w:t>
      </w:r>
      <w:r w:rsidR="00064A74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tussentijds</w:t>
      </w:r>
      <w:r w:rsidR="00064A74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in rekening worden gebracht.</w:t>
      </w:r>
    </w:p>
    <w:p w:rsidR="005A71B9" w:rsidRPr="006E6D4B" w:rsidRDefault="005A71B9" w:rsidP="00F7630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d. </w:t>
      </w:r>
      <w:r w:rsidR="00F76307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Als de Overeenkomst wordt beëindigd voordat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de overeengekomen</w:t>
      </w:r>
      <w:r w:rsidR="00F76307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werkzaamheden heeft voltooid, is Cliënt, behoudens schriftelijke</w:t>
      </w:r>
      <w:r w:rsidR="00F76307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andersluidende afspraak, Honorarium verschuldigd voor de door</w:t>
      </w:r>
      <w:r w:rsidR="00F76307" w:rsidRPr="006E6D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reeds verrichte werkzaamheden. </w:t>
      </w:r>
    </w:p>
    <w:p w:rsidR="005A71B9" w:rsidRPr="006E6D4B" w:rsidRDefault="00F76307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e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sz w:val="16"/>
          <w:szCs w:val="16"/>
        </w:rPr>
        <w:t>Het Honorarium wordt vermeerderd met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Verschotten en omzetbelasting.</w:t>
      </w:r>
    </w:p>
    <w:p w:rsidR="005A71B9" w:rsidRPr="006E6D4B" w:rsidRDefault="00F76307" w:rsidP="00F7630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f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Pr="006E6D4B">
        <w:rPr>
          <w:rFonts w:ascii="Arial" w:hAnsi="Arial" w:cs="Arial"/>
          <w:sz w:val="16"/>
          <w:szCs w:val="16"/>
        </w:rPr>
        <w:tab/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is steeds gerechtigd van Cliënt betaling van een voorschot te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verlangen. Een ontvangen voorschot wordt eerst verrekend met de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slotdeclaratie in de desbetreffende Overeenkomst.</w:t>
      </w:r>
    </w:p>
    <w:p w:rsidR="005A71B9" w:rsidRPr="006E6D4B" w:rsidRDefault="00F76307" w:rsidP="00F7630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g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Pr="006E6D4B">
        <w:rPr>
          <w:rFonts w:ascii="Arial" w:hAnsi="Arial" w:cs="Arial"/>
          <w:sz w:val="16"/>
          <w:szCs w:val="16"/>
        </w:rPr>
        <w:tab/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is gerechtigd het tijdevenredige Honorarium per 1 januari van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elk jaar aan te passen conform de door haar vastgestelde uurtarieven.</w:t>
      </w:r>
    </w:p>
    <w:p w:rsidR="005A71B9" w:rsidRPr="006E6D4B" w:rsidRDefault="00F76307" w:rsidP="00F7630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h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Pr="006E6D4B">
        <w:rPr>
          <w:rFonts w:ascii="Arial" w:hAnsi="Arial" w:cs="Arial"/>
          <w:sz w:val="16"/>
          <w:szCs w:val="16"/>
        </w:rPr>
        <w:tab/>
      </w:r>
      <w:r w:rsidR="005A71B9" w:rsidRPr="006E6D4B">
        <w:rPr>
          <w:rFonts w:ascii="Arial" w:hAnsi="Arial" w:cs="Arial"/>
          <w:sz w:val="16"/>
          <w:szCs w:val="16"/>
        </w:rPr>
        <w:t xml:space="preserve">Als de Overeenkomst bestaat tussen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en meer Cliënten, zijn al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deze Cliënten hoofdelijk verbonden voor de verplichtingen uit de</w:t>
      </w:r>
      <w:r w:rsidRPr="006E6D4B">
        <w:rPr>
          <w:rFonts w:ascii="Arial" w:hAnsi="Arial" w:cs="Arial"/>
          <w:sz w:val="16"/>
          <w:szCs w:val="16"/>
        </w:rPr>
        <w:t xml:space="preserve"> Overeenkomst</w:t>
      </w:r>
      <w:r w:rsidR="005A71B9"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V. Betaling</w:t>
      </w:r>
    </w:p>
    <w:p w:rsidR="005A71B9" w:rsidRPr="006E6D4B" w:rsidRDefault="005A71B9" w:rsidP="003B28E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a. </w:t>
      </w:r>
      <w:r w:rsidR="003B28E0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Cliënt is alleen van zijn betalingsverplichting jegens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gekweten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indien en voor zover hij het verschuldigde heeft overgemaakt op één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="002A2A0D" w:rsidRPr="006E6D4B">
        <w:rPr>
          <w:rFonts w:ascii="Arial" w:hAnsi="Arial" w:cs="Arial"/>
          <w:sz w:val="16"/>
          <w:szCs w:val="16"/>
        </w:rPr>
        <w:t>van de bank</w:t>
      </w:r>
      <w:r w:rsidRPr="006E6D4B">
        <w:rPr>
          <w:rFonts w:ascii="Arial" w:hAnsi="Arial" w:cs="Arial"/>
          <w:sz w:val="16"/>
          <w:szCs w:val="16"/>
        </w:rPr>
        <w:t xml:space="preserve">rekeningen ten name van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b.</w:t>
      </w:r>
      <w:r w:rsidR="003B28E0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Cliënt is niet bevoegd het aan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verschuldigde te verrekenen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 xml:space="preserve">met </w:t>
      </w:r>
      <w:proofErr w:type="spellStart"/>
      <w:r w:rsidRPr="006E6D4B">
        <w:rPr>
          <w:rFonts w:ascii="Arial" w:hAnsi="Arial" w:cs="Arial"/>
          <w:sz w:val="16"/>
          <w:szCs w:val="16"/>
        </w:rPr>
        <w:t>tegenvorderingen</w:t>
      </w:r>
      <w:proofErr w:type="spellEnd"/>
      <w:r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3B28E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 xml:space="preserve">c. </w:t>
      </w:r>
      <w:r w:rsidR="003B28E0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Betaling van declaraties van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dient te geschieden binnen 14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dagen na factuurdatum. Bij overschrijding van deze termijn is Cliënt van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 xml:space="preserve">rechtswege in verzuim en is hij aan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een vertragingsrente verschuldigd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gelijk aan de in hun verhouding geldende wettelijke rente.</w:t>
      </w:r>
    </w:p>
    <w:p w:rsidR="005A71B9" w:rsidRPr="006E6D4B" w:rsidRDefault="005A71B9" w:rsidP="006E6D4B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d.</w:t>
      </w:r>
      <w:r w:rsidR="003B28E0" w:rsidRPr="006E6D4B">
        <w:rPr>
          <w:rFonts w:ascii="Arial" w:hAnsi="Arial" w:cs="Arial"/>
          <w:sz w:val="16"/>
          <w:szCs w:val="16"/>
        </w:rPr>
        <w:tab/>
      </w:r>
      <w:r w:rsidRPr="006E6D4B">
        <w:rPr>
          <w:rFonts w:ascii="Arial" w:hAnsi="Arial" w:cs="Arial"/>
          <w:sz w:val="16"/>
          <w:szCs w:val="16"/>
        </w:rPr>
        <w:t xml:space="preserve"> Indien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tegen Cliënt die in verzuim is invorderingsmaatregelen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treft, komen alle gerechtelijke en buitengerechtelijke kosten die met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die invordering verband houden ten laste van Cliënt met een minimum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van 10% van de openstaande declaraties.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VI. Aansprakelijkheid</w:t>
      </w:r>
    </w:p>
    <w:p w:rsidR="003B28E0" w:rsidRPr="006E6D4B" w:rsidRDefault="003B28E0" w:rsidP="003B28E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a.</w:t>
      </w:r>
      <w:r w:rsidRPr="006E6D4B">
        <w:rPr>
          <w:rFonts w:ascii="Arial" w:hAnsi="Arial" w:cs="Arial"/>
          <w:sz w:val="16"/>
          <w:szCs w:val="16"/>
        </w:rPr>
        <w:tab/>
        <w:t xml:space="preserve">Bij het inschakelen door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van derden en bij het gebruik door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van apparatuur, software, gegevensbestanden, registers of andere zaken, zal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steeds de nodige zorgvuldigheid in acht nemen.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is echter niet aansprakelijk voor eventuele tekortkomingen van deze derden of voor het niet deugdelijk functioneren van door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Pr="006E6D4B">
        <w:rPr>
          <w:rFonts w:ascii="Arial" w:hAnsi="Arial" w:cs="Arial"/>
          <w:sz w:val="16"/>
          <w:szCs w:val="16"/>
        </w:rPr>
        <w:t xml:space="preserve"> bij de uitvoering van de Overeenkomst gebruikte apparatuur, software, gegevensbestanden, registers of andere zaken.</w:t>
      </w:r>
    </w:p>
    <w:p w:rsidR="005A71B9" w:rsidRPr="006E6D4B" w:rsidRDefault="003B28E0" w:rsidP="003B28E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b</w:t>
      </w:r>
      <w:r w:rsidR="005A71B9" w:rsidRPr="006E6D4B">
        <w:rPr>
          <w:rFonts w:ascii="Arial" w:hAnsi="Arial" w:cs="Arial"/>
          <w:sz w:val="16"/>
          <w:szCs w:val="16"/>
        </w:rPr>
        <w:t xml:space="preserve">. </w:t>
      </w:r>
      <w:r w:rsidRPr="006E6D4B">
        <w:rPr>
          <w:rFonts w:ascii="Arial" w:hAnsi="Arial" w:cs="Arial"/>
          <w:sz w:val="16"/>
          <w:szCs w:val="16"/>
        </w:rPr>
        <w:tab/>
        <w:t>Onverminderd het hiervoor onder a bepaalde, is d</w:t>
      </w:r>
      <w:r w:rsidR="005A71B9" w:rsidRPr="006E6D4B">
        <w:rPr>
          <w:rFonts w:ascii="Arial" w:hAnsi="Arial" w:cs="Arial"/>
          <w:sz w:val="16"/>
          <w:szCs w:val="16"/>
        </w:rPr>
        <w:t xml:space="preserve">e aansprakelijkheid van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jegens Cliënt en derden voor schade,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>voortvloeiende uit of verbandhoudende met de uitvoering van de</w:t>
      </w:r>
      <w:r w:rsidRPr="006E6D4B">
        <w:rPr>
          <w:rFonts w:ascii="Arial" w:hAnsi="Arial" w:cs="Arial"/>
          <w:sz w:val="16"/>
          <w:szCs w:val="16"/>
        </w:rPr>
        <w:t xml:space="preserve"> Overeenkomst,</w:t>
      </w:r>
      <w:r w:rsidR="005A71B9" w:rsidRPr="006E6D4B">
        <w:rPr>
          <w:rFonts w:ascii="Arial" w:hAnsi="Arial" w:cs="Arial"/>
          <w:sz w:val="16"/>
          <w:szCs w:val="16"/>
        </w:rPr>
        <w:t xml:space="preserve"> steeds b</w:t>
      </w:r>
      <w:r w:rsidRPr="006E6D4B">
        <w:rPr>
          <w:rFonts w:ascii="Arial" w:hAnsi="Arial" w:cs="Arial"/>
          <w:sz w:val="16"/>
          <w:szCs w:val="16"/>
        </w:rPr>
        <w:t xml:space="preserve">eperkt tot het bedrag </w:t>
      </w:r>
      <w:r w:rsidR="005A71B9" w:rsidRPr="006E6D4B">
        <w:rPr>
          <w:rFonts w:ascii="Arial" w:hAnsi="Arial" w:cs="Arial"/>
          <w:sz w:val="16"/>
          <w:szCs w:val="16"/>
        </w:rPr>
        <w:t>van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 xml:space="preserve">het door </w:t>
      </w:r>
      <w:proofErr w:type="spellStart"/>
      <w:r w:rsidR="00CA49AB">
        <w:rPr>
          <w:rFonts w:ascii="Arial" w:hAnsi="Arial" w:cs="Arial"/>
          <w:sz w:val="16"/>
          <w:szCs w:val="16"/>
        </w:rPr>
        <w:t>AdJuncto</w:t>
      </w:r>
      <w:proofErr w:type="spellEnd"/>
      <w:r w:rsidR="005A71B9" w:rsidRPr="006E6D4B">
        <w:rPr>
          <w:rFonts w:ascii="Arial" w:hAnsi="Arial" w:cs="Arial"/>
          <w:sz w:val="16"/>
          <w:szCs w:val="16"/>
        </w:rPr>
        <w:t xml:space="preserve"> in</w:t>
      </w:r>
      <w:r w:rsidRPr="006E6D4B">
        <w:rPr>
          <w:rFonts w:ascii="Arial" w:hAnsi="Arial" w:cs="Arial"/>
          <w:sz w:val="16"/>
          <w:szCs w:val="16"/>
        </w:rPr>
        <w:t xml:space="preserve"> </w:t>
      </w:r>
      <w:r w:rsidR="005A71B9" w:rsidRPr="006E6D4B">
        <w:rPr>
          <w:rFonts w:ascii="Arial" w:hAnsi="Arial" w:cs="Arial"/>
          <w:sz w:val="16"/>
          <w:szCs w:val="16"/>
        </w:rPr>
        <w:t xml:space="preserve">rekening gebrachte Honorarium </w:t>
      </w:r>
      <w:proofErr w:type="spellStart"/>
      <w:r w:rsidR="00F60D81" w:rsidRPr="006E6D4B">
        <w:rPr>
          <w:rFonts w:ascii="Arial" w:hAnsi="Arial" w:cs="Arial"/>
          <w:sz w:val="16"/>
          <w:szCs w:val="16"/>
        </w:rPr>
        <w:t>terzake</w:t>
      </w:r>
      <w:proofErr w:type="spellEnd"/>
      <w:r w:rsidR="00F60D81" w:rsidRPr="006E6D4B">
        <w:rPr>
          <w:rFonts w:ascii="Arial" w:hAnsi="Arial" w:cs="Arial"/>
          <w:sz w:val="16"/>
          <w:szCs w:val="16"/>
        </w:rPr>
        <w:t xml:space="preserve"> van de</w:t>
      </w:r>
      <w:r w:rsidRPr="006E6D4B">
        <w:rPr>
          <w:rFonts w:ascii="Arial" w:hAnsi="Arial" w:cs="Arial"/>
          <w:sz w:val="16"/>
          <w:szCs w:val="16"/>
        </w:rPr>
        <w:t xml:space="preserve"> Overeenkomst</w:t>
      </w:r>
      <w:r w:rsidR="005A71B9" w:rsidRPr="006E6D4B">
        <w:rPr>
          <w:rFonts w:ascii="Arial" w:hAnsi="Arial" w:cs="Arial"/>
          <w:sz w:val="16"/>
          <w:szCs w:val="16"/>
        </w:rPr>
        <w:t>.</w:t>
      </w:r>
    </w:p>
    <w:p w:rsidR="005A71B9" w:rsidRPr="006E6D4B" w:rsidRDefault="005A71B9" w:rsidP="005A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319C8" w:rsidRPr="006E6D4B" w:rsidRDefault="005A71B9" w:rsidP="00A319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VII. Geschillen</w:t>
      </w:r>
    </w:p>
    <w:p w:rsidR="00A319C8" w:rsidRPr="006E6D4B" w:rsidRDefault="005A71B9" w:rsidP="00A319C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6E6D4B">
        <w:rPr>
          <w:rFonts w:ascii="Arial" w:hAnsi="Arial" w:cs="Arial"/>
          <w:sz w:val="16"/>
          <w:szCs w:val="16"/>
        </w:rPr>
        <w:t>Op de Overeenkomst is Nederlands recht van toepassing. Tenzij Partijenschriftelijk anders overeenkomen worden geschillen uitsluitend</w:t>
      </w:r>
      <w:r w:rsidR="003B28E0" w:rsidRPr="006E6D4B">
        <w:rPr>
          <w:rFonts w:ascii="Arial" w:hAnsi="Arial" w:cs="Arial"/>
          <w:sz w:val="16"/>
          <w:szCs w:val="16"/>
        </w:rPr>
        <w:t xml:space="preserve"> </w:t>
      </w:r>
      <w:r w:rsidRPr="006E6D4B">
        <w:rPr>
          <w:rFonts w:ascii="Arial" w:hAnsi="Arial" w:cs="Arial"/>
          <w:sz w:val="16"/>
          <w:szCs w:val="16"/>
        </w:rPr>
        <w:t>beslec</w:t>
      </w:r>
      <w:r w:rsidR="003B28E0" w:rsidRPr="006E6D4B">
        <w:rPr>
          <w:rFonts w:ascii="Arial" w:hAnsi="Arial" w:cs="Arial"/>
          <w:sz w:val="16"/>
          <w:szCs w:val="16"/>
        </w:rPr>
        <w:t xml:space="preserve">ht door de bevoegde </w:t>
      </w:r>
      <w:r w:rsidRPr="006E6D4B">
        <w:rPr>
          <w:rFonts w:ascii="Arial" w:hAnsi="Arial" w:cs="Arial"/>
          <w:sz w:val="16"/>
          <w:szCs w:val="16"/>
        </w:rPr>
        <w:t>rechter</w:t>
      </w:r>
      <w:r w:rsidR="003B28E0" w:rsidRPr="006E6D4B">
        <w:rPr>
          <w:rFonts w:ascii="Arial" w:hAnsi="Arial" w:cs="Arial"/>
          <w:sz w:val="16"/>
          <w:szCs w:val="16"/>
        </w:rPr>
        <w:t xml:space="preserve"> in de Rechtbank</w:t>
      </w:r>
      <w:r w:rsidR="00A319C8" w:rsidRPr="006E6D4B">
        <w:rPr>
          <w:rFonts w:ascii="Arial" w:hAnsi="Arial" w:cs="Arial"/>
          <w:sz w:val="16"/>
          <w:szCs w:val="16"/>
        </w:rPr>
        <w:t xml:space="preserve"> Overijssel.</w:t>
      </w:r>
    </w:p>
    <w:p w:rsidR="00A319C8" w:rsidRPr="006E6D4B" w:rsidRDefault="00A319C8" w:rsidP="00A319C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16"/>
          <w:szCs w:val="16"/>
        </w:rPr>
      </w:pPr>
    </w:p>
    <w:p w:rsidR="00A319C8" w:rsidRPr="006E6D4B" w:rsidRDefault="00A319C8" w:rsidP="00A319C8">
      <w:pPr>
        <w:pStyle w:val="Geenafstand"/>
        <w:rPr>
          <w:rFonts w:ascii="Arial" w:hAnsi="Arial" w:cs="Arial"/>
          <w:b/>
          <w:sz w:val="16"/>
          <w:szCs w:val="16"/>
        </w:rPr>
      </w:pPr>
      <w:r w:rsidRPr="006E6D4B">
        <w:rPr>
          <w:rFonts w:ascii="Arial" w:hAnsi="Arial" w:cs="Arial"/>
          <w:b/>
          <w:sz w:val="16"/>
          <w:szCs w:val="16"/>
        </w:rPr>
        <w:t>VIII. Naleving wetgeving</w:t>
      </w:r>
    </w:p>
    <w:p w:rsidR="00A319C8" w:rsidRPr="006E6D4B" w:rsidRDefault="00A319C8" w:rsidP="006E6D4B">
      <w:pPr>
        <w:pStyle w:val="Geenafstand"/>
        <w:ind w:left="708"/>
        <w:rPr>
          <w:rFonts w:ascii="Arial" w:hAnsi="Arial" w:cs="Arial"/>
          <w:sz w:val="16"/>
          <w:szCs w:val="16"/>
        </w:rPr>
      </w:pPr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Indien de dienstverlening van </w:t>
      </w:r>
      <w:proofErr w:type="spellStart"/>
      <w:r w:rsidR="00CA49AB">
        <w:rPr>
          <w:rFonts w:ascii="Arial" w:eastAsia="Times New Roman" w:hAnsi="Arial" w:cs="Arial"/>
          <w:sz w:val="16"/>
          <w:szCs w:val="16"/>
          <w:lang w:eastAsia="nl-NL"/>
        </w:rPr>
        <w:t>AdJuncto</w:t>
      </w:r>
      <w:proofErr w:type="spellEnd"/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 valt onder de Wet ter voorkoming van witwassen en financieren van terrorisme (</w:t>
      </w:r>
      <w:proofErr w:type="spellStart"/>
      <w:r w:rsidRPr="006E6D4B">
        <w:rPr>
          <w:rFonts w:ascii="Arial" w:eastAsia="Times New Roman" w:hAnsi="Arial" w:cs="Arial"/>
          <w:sz w:val="16"/>
          <w:szCs w:val="16"/>
          <w:lang w:eastAsia="nl-NL"/>
        </w:rPr>
        <w:t>Wwft</w:t>
      </w:r>
      <w:proofErr w:type="spellEnd"/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) kan </w:t>
      </w:r>
      <w:proofErr w:type="spellStart"/>
      <w:r w:rsidR="00CA49AB">
        <w:rPr>
          <w:rFonts w:ascii="Arial" w:eastAsia="Times New Roman" w:hAnsi="Arial" w:cs="Arial"/>
          <w:sz w:val="16"/>
          <w:szCs w:val="16"/>
          <w:lang w:eastAsia="nl-NL"/>
        </w:rPr>
        <w:t>AdJuncto</w:t>
      </w:r>
      <w:proofErr w:type="spellEnd"/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 verplicht zijn om situaties of transacties met een ongebruikelijk karakter te melden bij de </w:t>
      </w:r>
      <w:hyperlink r:id="rId5" w:history="1">
        <w:r w:rsidRPr="006E6D4B">
          <w:rPr>
            <w:rFonts w:ascii="Arial" w:eastAsia="Times New Roman" w:hAnsi="Arial" w:cs="Arial"/>
            <w:sz w:val="16"/>
            <w:szCs w:val="16"/>
            <w:lang w:eastAsia="nl-NL"/>
          </w:rPr>
          <w:t xml:space="preserve">Financial </w:t>
        </w:r>
        <w:proofErr w:type="spellStart"/>
        <w:r w:rsidRPr="006E6D4B">
          <w:rPr>
            <w:rFonts w:ascii="Arial" w:eastAsia="Times New Roman" w:hAnsi="Arial" w:cs="Arial"/>
            <w:sz w:val="16"/>
            <w:szCs w:val="16"/>
            <w:lang w:eastAsia="nl-NL"/>
          </w:rPr>
          <w:t>Intelligence</w:t>
        </w:r>
        <w:proofErr w:type="spellEnd"/>
        <w:r w:rsidRPr="006E6D4B">
          <w:rPr>
            <w:rFonts w:ascii="Arial" w:eastAsia="Times New Roman" w:hAnsi="Arial" w:cs="Arial"/>
            <w:sz w:val="16"/>
            <w:szCs w:val="16"/>
            <w:lang w:eastAsia="nl-NL"/>
          </w:rPr>
          <w:t xml:space="preserve"> Unit - Nederland</w:t>
        </w:r>
      </w:hyperlink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 (FIU-NL). Het is </w:t>
      </w:r>
      <w:proofErr w:type="spellStart"/>
      <w:r w:rsidR="00CA49AB">
        <w:rPr>
          <w:rFonts w:ascii="Arial" w:eastAsia="Times New Roman" w:hAnsi="Arial" w:cs="Arial"/>
          <w:sz w:val="16"/>
          <w:szCs w:val="16"/>
          <w:lang w:eastAsia="nl-NL"/>
        </w:rPr>
        <w:t>AdJuncto</w:t>
      </w:r>
      <w:proofErr w:type="spellEnd"/>
      <w:r w:rsidRPr="006E6D4B">
        <w:rPr>
          <w:rFonts w:ascii="Arial" w:eastAsia="Times New Roman" w:hAnsi="Arial" w:cs="Arial"/>
          <w:sz w:val="16"/>
          <w:szCs w:val="16"/>
          <w:lang w:eastAsia="nl-NL"/>
        </w:rPr>
        <w:t xml:space="preserve"> wettelijk verboden om Cliënt van een zodanige melding op de hoogte te stellen. </w:t>
      </w:r>
    </w:p>
    <w:sectPr w:rsidR="00A319C8" w:rsidRPr="006E6D4B" w:rsidSect="009A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7A32"/>
    <w:multiLevelType w:val="multilevel"/>
    <w:tmpl w:val="569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853BB"/>
    <w:multiLevelType w:val="multilevel"/>
    <w:tmpl w:val="07AE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F2D8F"/>
    <w:multiLevelType w:val="multilevel"/>
    <w:tmpl w:val="270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22329"/>
    <w:multiLevelType w:val="multilevel"/>
    <w:tmpl w:val="033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15972"/>
    <w:multiLevelType w:val="multilevel"/>
    <w:tmpl w:val="B77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367146"/>
    <w:multiLevelType w:val="multilevel"/>
    <w:tmpl w:val="9C22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E6E3D"/>
    <w:multiLevelType w:val="multilevel"/>
    <w:tmpl w:val="F84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789"/>
    <w:rsid w:val="00064A74"/>
    <w:rsid w:val="000724D4"/>
    <w:rsid w:val="000746E8"/>
    <w:rsid w:val="000D49EB"/>
    <w:rsid w:val="001C43B7"/>
    <w:rsid w:val="001D77C8"/>
    <w:rsid w:val="00212459"/>
    <w:rsid w:val="002659AB"/>
    <w:rsid w:val="002A2A0D"/>
    <w:rsid w:val="002C169E"/>
    <w:rsid w:val="003B28E0"/>
    <w:rsid w:val="004B4EC4"/>
    <w:rsid w:val="005722CF"/>
    <w:rsid w:val="005A71B9"/>
    <w:rsid w:val="005C305F"/>
    <w:rsid w:val="006E6D4B"/>
    <w:rsid w:val="008D3BBC"/>
    <w:rsid w:val="008D4012"/>
    <w:rsid w:val="008E5976"/>
    <w:rsid w:val="009A39DA"/>
    <w:rsid w:val="009F67ED"/>
    <w:rsid w:val="00A319C8"/>
    <w:rsid w:val="00A55DB2"/>
    <w:rsid w:val="00AE4559"/>
    <w:rsid w:val="00CA49AB"/>
    <w:rsid w:val="00CE50C1"/>
    <w:rsid w:val="00E61CEC"/>
    <w:rsid w:val="00EB2790"/>
    <w:rsid w:val="00F60D81"/>
    <w:rsid w:val="00F63789"/>
    <w:rsid w:val="00F76307"/>
    <w:rsid w:val="00FA4428"/>
    <w:rsid w:val="00FC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39DA"/>
  </w:style>
  <w:style w:type="paragraph" w:styleId="Kop1">
    <w:name w:val="heading 1"/>
    <w:basedOn w:val="Standaard"/>
    <w:link w:val="Kop1Char"/>
    <w:uiPriority w:val="9"/>
    <w:qFormat/>
    <w:rsid w:val="00A31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A31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19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319C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319C8"/>
    <w:rPr>
      <w:color w:val="0000FF"/>
      <w:u w:val="singl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A319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A319C8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A319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A319C8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319C8"/>
    <w:rPr>
      <w:b/>
      <w:bCs/>
    </w:rPr>
  </w:style>
  <w:style w:type="character" w:styleId="Nadruk">
    <w:name w:val="Emphasis"/>
    <w:basedOn w:val="Standaardalinea-lettertype"/>
    <w:uiPriority w:val="20"/>
    <w:qFormat/>
    <w:rsid w:val="00A319C8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9C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319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u-nederland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</cp:revision>
  <dcterms:created xsi:type="dcterms:W3CDTF">2014-06-19T19:08:00Z</dcterms:created>
  <dcterms:modified xsi:type="dcterms:W3CDTF">2014-07-08T19:15:00Z</dcterms:modified>
</cp:coreProperties>
</file>